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0B" w:rsidRDefault="00C9500B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9500B" w:rsidRDefault="00B733B1">
      <w:pPr>
        <w:pStyle w:val="a7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东疆港产城融合智慧交通项目一期限行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交通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禁令标志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牌启用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公告</w:t>
      </w:r>
    </w:p>
    <w:p w:rsidR="00C9500B" w:rsidRDefault="00C9500B">
      <w:pPr>
        <w:pStyle w:val="a7"/>
        <w:widowControl/>
        <w:spacing w:before="0" w:beforeAutospacing="0" w:after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9500B" w:rsidRDefault="00B733B1">
      <w:pPr>
        <w:pStyle w:val="a7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区域内居民、</w:t>
      </w:r>
      <w:r>
        <w:rPr>
          <w:rFonts w:ascii="仿宋_GB2312" w:eastAsia="仿宋_GB2312" w:hAnsi="仿宋" w:hint="eastAsia"/>
          <w:sz w:val="32"/>
          <w:szCs w:val="32"/>
        </w:rPr>
        <w:t>有关单位和社会各界人士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为推动东疆综合保税区</w:t>
      </w:r>
      <w:r>
        <w:rPr>
          <w:rFonts w:ascii="仿宋_GB2312" w:eastAsia="仿宋_GB2312" w:hAnsi="仿宋" w:hint="eastAsia"/>
          <w:sz w:val="32"/>
          <w:szCs w:val="32"/>
        </w:rPr>
        <w:t>港产城融合发展工作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，提升道路交通通行智慧程度，加强区域道路交通安全管理，优化区域内居民居住及出行环境，根据《中华人民共和国道路交通安全法</w:t>
      </w:r>
      <w:r>
        <w:rPr>
          <w:rFonts w:ascii="仿宋_GB2312" w:eastAsia="仿宋_GB2312" w:hAnsi="仿宋_GB2312" w:cs="仿宋_GB2312" w:hint="eastAsia"/>
          <w:sz w:val="32"/>
          <w:szCs w:val="32"/>
        </w:rPr>
        <w:t>》《</w:t>
      </w:r>
      <w:r>
        <w:rPr>
          <w:rFonts w:ascii="仿宋_GB2312" w:eastAsia="仿宋_GB2312" w:hAnsi="仿宋_GB2312" w:cs="仿宋_GB2312" w:hint="eastAsia"/>
          <w:sz w:val="32"/>
          <w:szCs w:val="32"/>
        </w:rPr>
        <w:t>城市道路管理条例》等法律法规的相关规定，结合</w:t>
      </w:r>
      <w:r>
        <w:rPr>
          <w:rFonts w:ascii="仿宋_GB2312" w:eastAsia="仿宋_GB2312" w:hAnsi="仿宋" w:hint="eastAsia"/>
          <w:sz w:val="32"/>
          <w:szCs w:val="32"/>
        </w:rPr>
        <w:t>天津港东疆保税港区总体规划、文旅产业发展需求及区内群众需求，东疆港产城融合智慧交通项目一期工程设计方案提出</w:t>
      </w:r>
      <w:r>
        <w:rPr>
          <w:rFonts w:ascii="仿宋_GB2312" w:eastAsia="仿宋_GB2312" w:hAnsi="仿宋" w:hint="eastAsia"/>
          <w:sz w:val="32"/>
          <w:szCs w:val="32"/>
        </w:rPr>
        <w:t>对</w:t>
      </w:r>
      <w:r>
        <w:rPr>
          <w:rFonts w:ascii="仿宋_GB2312" w:eastAsia="仿宋_GB2312" w:hAnsi="仿宋" w:hint="eastAsia"/>
          <w:sz w:val="32"/>
          <w:szCs w:val="32"/>
        </w:rPr>
        <w:t>东疆港部分区域实施限制中重型货运车辆</w:t>
      </w:r>
      <w:r>
        <w:rPr>
          <w:rFonts w:ascii="仿宋_GB2312" w:eastAsia="仿宋_GB2312" w:hAnsi="仿宋" w:hint="eastAsia"/>
          <w:sz w:val="32"/>
          <w:szCs w:val="32"/>
        </w:rPr>
        <w:t>通行</w:t>
      </w:r>
      <w:r>
        <w:rPr>
          <w:rFonts w:ascii="仿宋_GB2312" w:eastAsia="仿宋_GB2312" w:hAnsi="仿宋" w:hint="eastAsia"/>
          <w:sz w:val="32"/>
          <w:szCs w:val="32"/>
        </w:rPr>
        <w:t>并设置限行交通</w:t>
      </w:r>
      <w:r>
        <w:rPr>
          <w:rFonts w:ascii="仿宋_GB2312" w:eastAsia="仿宋_GB2312" w:hAnsi="仿宋" w:hint="eastAsia"/>
          <w:sz w:val="32"/>
          <w:szCs w:val="32"/>
        </w:rPr>
        <w:t>禁令标志</w:t>
      </w:r>
      <w:r>
        <w:rPr>
          <w:rFonts w:ascii="仿宋_GB2312" w:eastAsia="仿宋_GB2312" w:hAnsi="仿宋" w:hint="eastAsia"/>
          <w:sz w:val="32"/>
          <w:szCs w:val="32"/>
        </w:rPr>
        <w:t>牌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目前</w:t>
      </w:r>
      <w:r>
        <w:rPr>
          <w:rFonts w:ascii="仿宋_GB2312" w:eastAsia="仿宋_GB2312" w:hAnsi="仿宋" w:hint="eastAsia"/>
          <w:sz w:val="32"/>
          <w:szCs w:val="32"/>
        </w:rPr>
        <w:t>已</w:t>
      </w:r>
      <w:r>
        <w:rPr>
          <w:rFonts w:ascii="仿宋_GB2312" w:eastAsia="仿宋_GB2312" w:hAnsi="仿宋" w:hint="eastAsia"/>
          <w:sz w:val="32"/>
          <w:szCs w:val="32"/>
        </w:rPr>
        <w:t>完成</w:t>
      </w:r>
      <w:r>
        <w:rPr>
          <w:rFonts w:ascii="仿宋_GB2312" w:eastAsia="仿宋_GB2312" w:hAnsi="仿宋" w:hint="eastAsia"/>
          <w:sz w:val="32"/>
          <w:szCs w:val="32"/>
        </w:rPr>
        <w:t>项目立项</w:t>
      </w:r>
      <w:r>
        <w:rPr>
          <w:rFonts w:ascii="仿宋_GB2312" w:eastAsia="仿宋_GB2312" w:hAnsi="仿宋" w:hint="eastAsia"/>
          <w:sz w:val="32"/>
          <w:szCs w:val="32"/>
        </w:rPr>
        <w:t>审批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专家审查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公开征求意见、征求区内相关企业及居民意见等流程</w:t>
      </w:r>
      <w:r>
        <w:rPr>
          <w:rFonts w:ascii="仿宋_GB2312" w:eastAsia="仿宋_GB2312" w:hAnsi="仿宋" w:hint="eastAsia"/>
          <w:sz w:val="32"/>
          <w:szCs w:val="32"/>
        </w:rPr>
        <w:t>。根据项目实施进度，</w:t>
      </w:r>
      <w:r>
        <w:rPr>
          <w:rFonts w:ascii="仿宋_GB2312" w:eastAsia="仿宋_GB2312" w:hAnsi="仿宋_GB2312" w:cs="仿宋_GB2312" w:hint="eastAsia"/>
          <w:sz w:val="32"/>
          <w:szCs w:val="32"/>
        </w:rPr>
        <w:t>决定</w:t>
      </w:r>
      <w:r>
        <w:rPr>
          <w:rFonts w:ascii="仿宋_GB2312" w:eastAsia="仿宋_GB2312" w:hAnsi="仿宋" w:hint="eastAsia"/>
          <w:sz w:val="32"/>
          <w:szCs w:val="32"/>
        </w:rPr>
        <w:t>正式启用项目限行交通</w:t>
      </w:r>
      <w:r>
        <w:rPr>
          <w:rFonts w:ascii="仿宋_GB2312" w:eastAsia="仿宋_GB2312" w:hAnsi="仿宋" w:hint="eastAsia"/>
          <w:sz w:val="32"/>
          <w:szCs w:val="32"/>
        </w:rPr>
        <w:t>禁令标志</w:t>
      </w:r>
      <w:r>
        <w:rPr>
          <w:rFonts w:ascii="仿宋_GB2312" w:eastAsia="仿宋_GB2312" w:hAnsi="仿宋" w:hint="eastAsia"/>
          <w:sz w:val="32"/>
          <w:szCs w:val="32"/>
        </w:rPr>
        <w:t>牌，现</w:t>
      </w:r>
      <w:r>
        <w:rPr>
          <w:rFonts w:ascii="仿宋_GB2312" w:eastAsia="仿宋_GB2312" w:hAnsi="仿宋_GB2312" w:cs="仿宋_GB2312" w:hint="eastAsia"/>
          <w:sz w:val="32"/>
          <w:szCs w:val="32"/>
        </w:rPr>
        <w:t>将有关事项通告如下：</w:t>
      </w:r>
    </w:p>
    <w:p w:rsidR="00C9500B" w:rsidRDefault="00B733B1">
      <w:pPr>
        <w:pStyle w:val="a7"/>
        <w:widowControl/>
        <w:shd w:val="clear" w:color="auto" w:fill="FFFFFF"/>
        <w:spacing w:before="0" w:beforeAutospacing="0" w:after="0" w:afterAutospacing="0" w:line="560" w:lineRule="exact"/>
        <w:ind w:leftChars="321" w:left="1474" w:hangingChars="250" w:hanging="80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一、项目实施情况</w:t>
      </w:r>
    </w:p>
    <w:p w:rsidR="00C9500B" w:rsidRDefault="00B733B1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根据天津港东疆保税港区总体规划，新港九号路以南、亚洲路以东区域以居住、商业及公共服务功能为主，现亚洲路除承担城市主干路功能以外还</w:t>
      </w:r>
      <w:r>
        <w:rPr>
          <w:rFonts w:ascii="仿宋_GB2312" w:eastAsia="仿宋_GB2312" w:hAnsi="仿宋" w:hint="eastAsia"/>
          <w:sz w:val="32"/>
          <w:szCs w:val="32"/>
        </w:rPr>
        <w:t>作</w:t>
      </w:r>
      <w:r>
        <w:rPr>
          <w:rFonts w:ascii="仿宋_GB2312" w:eastAsia="仿宋_GB2312" w:hAnsi="仿宋" w:hint="eastAsia"/>
          <w:sz w:val="32"/>
          <w:szCs w:val="32"/>
        </w:rPr>
        <w:t>为内贸货物出港通道，部分货运车辆进出或临时停放在亚洲路以东生活区的现象比较突出，对于生活区道路通行效率及交通安全影响较大。</w:t>
      </w:r>
    </w:p>
    <w:p w:rsidR="00C9500B" w:rsidRDefault="00B733B1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此外，东疆港作为周末及节假日等旅游高峰期游客出行热门目的地，沿海片区存在巨大的小客车流量，从文旅发展、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产业发展等角度来看，区域内货车通行不符合长远发展目标。</w:t>
      </w:r>
    </w:p>
    <w:p w:rsidR="00C9500B" w:rsidRDefault="00B733B1">
      <w:pPr>
        <w:pStyle w:val="a7"/>
        <w:shd w:val="clear" w:color="auto" w:fill="FFFFFF"/>
        <w:spacing w:before="0" w:beforeAutospacing="0" w:after="0" w:afterAutospacing="0" w:line="560" w:lineRule="exact"/>
        <w:ind w:firstLine="496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综上，为避免货车通行对生活区、商务区及旅游区的干扰，提升交通效率及安全，</w:t>
      </w:r>
      <w:r>
        <w:rPr>
          <w:rFonts w:ascii="仿宋_GB2312" w:eastAsia="仿宋_GB2312" w:hAnsi="仿宋" w:hint="eastAsia"/>
          <w:sz w:val="32"/>
          <w:szCs w:val="32"/>
        </w:rPr>
        <w:t>按照</w:t>
      </w:r>
      <w:r>
        <w:rPr>
          <w:rFonts w:ascii="仿宋_GB2312" w:eastAsia="仿宋_GB2312" w:hAnsi="仿宋" w:hint="eastAsia"/>
          <w:sz w:val="32"/>
          <w:szCs w:val="32"/>
        </w:rPr>
        <w:t>东疆港产城融合智慧交通项目一期</w:t>
      </w:r>
      <w:r>
        <w:rPr>
          <w:rFonts w:ascii="仿宋_GB2312" w:eastAsia="仿宋_GB2312" w:hAnsi="仿宋" w:hint="eastAsia"/>
          <w:sz w:val="32"/>
          <w:szCs w:val="32"/>
        </w:rPr>
        <w:t>工程设计，</w:t>
      </w:r>
      <w:r>
        <w:rPr>
          <w:rFonts w:ascii="仿宋_GB2312" w:eastAsia="仿宋_GB2312" w:hAnsi="仿宋" w:hint="eastAsia"/>
          <w:sz w:val="32"/>
          <w:szCs w:val="32"/>
        </w:rPr>
        <w:t>滨海新区东疆港部分区域实施限制中重型货运车辆通行措施，并设置</w:t>
      </w:r>
      <w:r>
        <w:rPr>
          <w:rFonts w:ascii="仿宋_GB2312" w:eastAsia="仿宋_GB2312" w:hAnsi="仿宋" w:hint="eastAsia"/>
          <w:sz w:val="32"/>
          <w:szCs w:val="32"/>
        </w:rPr>
        <w:t>36</w:t>
      </w:r>
      <w:r>
        <w:rPr>
          <w:rFonts w:ascii="仿宋_GB2312" w:eastAsia="仿宋_GB2312" w:hAnsi="仿宋" w:hint="eastAsia"/>
          <w:sz w:val="32"/>
          <w:szCs w:val="32"/>
        </w:rPr>
        <w:t>块限行交通</w:t>
      </w:r>
      <w:r>
        <w:rPr>
          <w:rFonts w:ascii="仿宋_GB2312" w:eastAsia="仿宋_GB2312" w:hAnsi="仿宋" w:hint="eastAsia"/>
          <w:sz w:val="32"/>
          <w:szCs w:val="32"/>
        </w:rPr>
        <w:t>禁令标志</w:t>
      </w:r>
      <w:r>
        <w:rPr>
          <w:rFonts w:ascii="仿宋_GB2312" w:eastAsia="仿宋_GB2312" w:hAnsi="仿宋" w:hint="eastAsia"/>
          <w:sz w:val="32"/>
          <w:szCs w:val="32"/>
        </w:rPr>
        <w:t>牌。对确有需要进入限货区域的货车，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可参照相关法律法规及相关要求申请临时通行许可证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Style w:val="a8"/>
          <w:rFonts w:ascii="黑体" w:eastAsia="黑体" w:hAnsi="黑体" w:cs="黑体"/>
          <w:b w:val="0"/>
          <w:bCs/>
          <w:sz w:val="32"/>
          <w:szCs w:val="32"/>
        </w:rPr>
      </w:pPr>
      <w:r>
        <w:rPr>
          <w:rStyle w:val="a8"/>
          <w:rFonts w:ascii="黑体" w:eastAsia="黑体" w:hAnsi="黑体" w:cs="黑体" w:hint="eastAsia"/>
          <w:b w:val="0"/>
          <w:bCs/>
          <w:sz w:val="32"/>
          <w:szCs w:val="32"/>
        </w:rPr>
        <w:t>二、限行</w:t>
      </w:r>
      <w:r>
        <w:rPr>
          <w:rStyle w:val="a8"/>
          <w:rFonts w:ascii="黑体" w:eastAsia="黑体" w:hAnsi="黑体" w:cs="黑体" w:hint="eastAsia"/>
          <w:b w:val="0"/>
          <w:bCs/>
          <w:sz w:val="32"/>
          <w:szCs w:val="32"/>
        </w:rPr>
        <w:t>禁令</w:t>
      </w:r>
      <w:r>
        <w:rPr>
          <w:rStyle w:val="a8"/>
          <w:rFonts w:ascii="黑体" w:eastAsia="黑体" w:hAnsi="黑体" w:cs="黑体" w:hint="eastAsia"/>
          <w:b w:val="0"/>
          <w:bCs/>
          <w:sz w:val="32"/>
          <w:szCs w:val="32"/>
        </w:rPr>
        <w:t>标志牌设置及启用情况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ind w:firstLineChars="200" w:firstLine="643"/>
        <w:jc w:val="both"/>
        <w:rPr>
          <w:rFonts w:ascii="楷体" w:eastAsia="楷体" w:hAnsi="楷体"/>
          <w:b/>
          <w:bCs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（一）中重型货运车辆限行</w:t>
      </w: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禁令</w:t>
      </w: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标志牌位置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本项目中重型货运车辆限行</w:t>
      </w:r>
      <w:r>
        <w:rPr>
          <w:rFonts w:ascii="仿宋_GB2312" w:eastAsia="仿宋_GB2312" w:hAnsi="仿宋_GB2312" w:cs="仿宋_GB2312" w:hint="eastAsia"/>
          <w:sz w:val="32"/>
          <w:szCs w:val="32"/>
        </w:rPr>
        <w:t>禁令</w:t>
      </w:r>
      <w:r>
        <w:rPr>
          <w:rFonts w:ascii="仿宋_GB2312" w:eastAsia="仿宋_GB2312" w:hAnsi="仿宋_GB2312" w:cs="仿宋_GB2312" w:hint="eastAsia"/>
          <w:sz w:val="32"/>
          <w:szCs w:val="32"/>
        </w:rPr>
        <w:t>标志牌结合区域发展和限行区域需要在各重点路口设置，具体位置情况见附件。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ind w:firstLineChars="200" w:firstLine="643"/>
        <w:jc w:val="both"/>
        <w:rPr>
          <w:rFonts w:ascii="楷体" w:eastAsia="楷体" w:hAnsi="楷体"/>
          <w:b/>
          <w:bCs/>
          <w:kern w:val="2"/>
          <w:sz w:val="32"/>
          <w:szCs w:val="32"/>
        </w:rPr>
      </w:pP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（二）限行</w:t>
      </w: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禁令</w:t>
      </w:r>
      <w:r>
        <w:rPr>
          <w:rFonts w:ascii="楷体" w:eastAsia="楷体" w:hAnsi="楷体" w:hint="eastAsia"/>
          <w:b/>
          <w:bCs/>
          <w:kern w:val="2"/>
          <w:sz w:val="32"/>
          <w:szCs w:val="32"/>
        </w:rPr>
        <w:t>标志牌启用后的要求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、限行时间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自本公告发布之日起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周一至周日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小时全天限行。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8"/>
          <w:rFonts w:ascii="仿宋_GB2312" w:eastAsia="仿宋_GB2312" w:hAnsi="仿宋_GB2312" w:cs="仿宋_GB2312" w:hint="eastAsia"/>
          <w:sz w:val="32"/>
          <w:szCs w:val="32"/>
        </w:rPr>
        <w:t xml:space="preserve">　</w:t>
      </w:r>
      <w:r>
        <w:rPr>
          <w:rStyle w:val="a8"/>
          <w:rFonts w:ascii="黑体" w:eastAsia="黑体" w:hAnsi="黑体" w:cs="黑体" w:hint="eastAsia"/>
          <w:b w:val="0"/>
          <w:bCs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、限行对象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中重型货运车辆禁止进入限行区域。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以下车辆不受限行措施限制：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）执行紧急任务的军车、警车、消防车、救护车、工程救险车辆等特种车辆不受此限行措施限制。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）因区域内有涉及企业生产、民计民生物资等确有通行需求的中重型货运车辆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可参照相关法律法规及相关要求申请临时通行许可证。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a8"/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、限行区域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　　禁货区域范围为：北至九号路（含），南至北京道（含），东至观澜路（含），西至亚洲路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不含亚洲路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形成的合围区域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9500B" w:rsidRDefault="00176198">
      <w:pPr>
        <w:widowControl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361950</wp:posOffset>
            </wp:positionV>
            <wp:extent cx="4514850" cy="5486400"/>
            <wp:effectExtent l="19050" t="0" r="0" b="0"/>
            <wp:wrapTopAndBottom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4864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3B1">
        <w:rPr>
          <w:rFonts w:ascii="黑体" w:eastAsia="黑体" w:hAnsi="黑体" w:cs="黑体" w:hint="eastAsia"/>
          <w:sz w:val="32"/>
          <w:szCs w:val="32"/>
        </w:rPr>
        <w:t>禁</w:t>
      </w:r>
      <w:r w:rsidR="00B733B1">
        <w:rPr>
          <w:rFonts w:ascii="黑体" w:eastAsia="黑体" w:hAnsi="黑体" w:cs="黑体" w:hint="eastAsia"/>
          <w:sz w:val="32"/>
          <w:szCs w:val="32"/>
        </w:rPr>
        <w:t>货</w:t>
      </w:r>
      <w:r w:rsidR="00B733B1">
        <w:rPr>
          <w:rFonts w:ascii="黑体" w:eastAsia="黑体" w:hAnsi="黑体" w:cs="黑体" w:hint="eastAsia"/>
          <w:sz w:val="32"/>
          <w:szCs w:val="32"/>
        </w:rPr>
        <w:t>区域图</w:t>
      </w:r>
    </w:p>
    <w:p w:rsidR="00C9500B" w:rsidRDefault="00B733B1">
      <w:pPr>
        <w:widowControl/>
        <w:spacing w:line="560" w:lineRule="exact"/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、中重型货运车辆绕行道路</w:t>
      </w:r>
    </w:p>
    <w:p w:rsidR="00C9500B" w:rsidRDefault="00B733B1">
      <w:pPr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亚洲路以西道路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含亚洲路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货车均可通行。</w:t>
      </w:r>
    </w:p>
    <w:p w:rsidR="00C9500B" w:rsidRDefault="00B733B1">
      <w:pPr>
        <w:widowControl/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限行交通</w:t>
      </w:r>
      <w:r>
        <w:rPr>
          <w:rFonts w:ascii="仿宋_GB2312" w:eastAsia="仿宋_GB2312" w:hAnsi="仿宋_GB2312" w:cs="仿宋_GB2312" w:hint="eastAsia"/>
          <w:sz w:val="32"/>
          <w:szCs w:val="32"/>
        </w:rPr>
        <w:t>禁令标志</w:t>
      </w:r>
      <w:r>
        <w:rPr>
          <w:rFonts w:ascii="仿宋_GB2312" w:eastAsia="仿宋_GB2312" w:hAnsi="仿宋_GB2312" w:cs="仿宋_GB2312" w:hint="eastAsia"/>
          <w:sz w:val="32"/>
          <w:szCs w:val="32"/>
        </w:rPr>
        <w:t>牌启用后，限行措施将根据滨海新区</w:t>
      </w:r>
      <w:r>
        <w:rPr>
          <w:rFonts w:ascii="仿宋_GB2312" w:eastAsia="仿宋_GB2312" w:hAnsi="仿宋_GB2312" w:cs="仿宋_GB2312" w:hint="eastAsia"/>
          <w:sz w:val="32"/>
          <w:szCs w:val="32"/>
        </w:rPr>
        <w:t>及东疆</w:t>
      </w:r>
      <w:r>
        <w:rPr>
          <w:rFonts w:ascii="仿宋_GB2312" w:eastAsia="仿宋_GB2312" w:hAnsi="仿宋_GB2312" w:cs="仿宋_GB2312" w:hint="eastAsia"/>
          <w:sz w:val="32"/>
          <w:szCs w:val="32"/>
        </w:rPr>
        <w:t>城市交通和大气污染状况适时进行调整。望广大货运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企业及驾驶员积极支持配合，自觉遵守本通告之规定，凡违反上述规定的，公安机关交通管理部门将依法予以处罚。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特此公告。</w:t>
      </w:r>
    </w:p>
    <w:p w:rsidR="00C9500B" w:rsidRDefault="00C9500B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9500B" w:rsidRDefault="00B733B1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附件：禁行标志牌位置图</w:t>
      </w:r>
    </w:p>
    <w:p w:rsidR="00C9500B" w:rsidRDefault="00C9500B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9500B" w:rsidRDefault="00C9500B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C9500B" w:rsidRDefault="00B733B1">
      <w:pPr>
        <w:pStyle w:val="a7"/>
        <w:widowControl/>
        <w:tabs>
          <w:tab w:val="left" w:pos="8200"/>
        </w:tabs>
        <w:wordWrap w:val="0"/>
        <w:spacing w:before="0" w:beforeAutospacing="0" w:after="0" w:afterAutospacing="0" w:line="560" w:lineRule="exact"/>
        <w:ind w:rightChars="-44" w:right="-92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</w:p>
    <w:p w:rsidR="00C9500B" w:rsidRDefault="00B733B1">
      <w:pPr>
        <w:pStyle w:val="a7"/>
        <w:widowControl/>
        <w:tabs>
          <w:tab w:val="left" w:pos="8200"/>
        </w:tabs>
        <w:spacing w:before="0" w:beforeAutospacing="0" w:after="0" w:afterAutospacing="0" w:line="560" w:lineRule="exact"/>
        <w:ind w:rightChars="-44" w:right="-92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天津东疆综合保税区规划国土和建设管理局</w:t>
      </w:r>
    </w:p>
    <w:p w:rsidR="00C9500B" w:rsidRDefault="00B733B1">
      <w:pPr>
        <w:pStyle w:val="a7"/>
        <w:widowControl/>
        <w:tabs>
          <w:tab w:val="left" w:pos="8200"/>
        </w:tabs>
        <w:spacing w:before="0" w:beforeAutospacing="0" w:after="0" w:afterAutospacing="0" w:line="560" w:lineRule="exact"/>
        <w:ind w:rightChars="-44" w:right="-92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天津东疆综合保税区生态环境和城市管理局</w:t>
      </w:r>
    </w:p>
    <w:p w:rsidR="00C9500B" w:rsidRDefault="00176198">
      <w:pPr>
        <w:pStyle w:val="a7"/>
        <w:widowControl/>
        <w:spacing w:before="0" w:beforeAutospacing="0" w:after="0" w:afterAutospacing="0" w:line="560" w:lineRule="exact"/>
        <w:ind w:rightChars="650" w:right="1365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滨海天津港分局交警支队</w:t>
      </w:r>
    </w:p>
    <w:p w:rsidR="00C9500B" w:rsidRDefault="00B733B1">
      <w:pPr>
        <w:pStyle w:val="a7"/>
        <w:widowControl/>
        <w:spacing w:before="0" w:beforeAutospacing="0" w:after="0" w:afterAutospacing="0" w:line="560" w:lineRule="exact"/>
        <w:ind w:rightChars="555" w:right="1165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9500B" w:rsidRDefault="00B733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6"/>
          <w:szCs w:val="36"/>
        </w:rPr>
        <w:lastRenderedPageBreak/>
        <w:t>附件</w:t>
      </w:r>
    </w:p>
    <w:p w:rsidR="00C9500B" w:rsidRDefault="00B733B1">
      <w:pPr>
        <w:widowControl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禁行标志牌位置图</w:t>
      </w:r>
    </w:p>
    <w:p w:rsidR="00176198" w:rsidRDefault="00176198">
      <w:pPr>
        <w:rPr>
          <w:rFonts w:hint="eastAsia"/>
        </w:rPr>
      </w:pPr>
    </w:p>
    <w:p w:rsidR="00176198" w:rsidRDefault="00176198">
      <w:pPr>
        <w:rPr>
          <w:rFonts w:hint="eastAsia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5581650" cy="7115175"/>
            <wp:effectExtent l="19050" t="0" r="0" b="0"/>
            <wp:docPr id="9" name="图片 5" descr="东疆港产城融合智慧交通项目一期  交通工程（标志标线） 图纸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东疆港产城融合智慧交通项目一期  交通工程（标志标线） 图纸_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9739" cy="712548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198" w:rsidRDefault="00176198">
      <w:pPr>
        <w:rPr>
          <w:rFonts w:hint="eastAsia"/>
        </w:rPr>
      </w:pPr>
    </w:p>
    <w:p w:rsidR="00176198" w:rsidRDefault="00176198">
      <w:pPr>
        <w:rPr>
          <w:rFonts w:hint="eastAsia"/>
        </w:rPr>
      </w:pPr>
    </w:p>
    <w:p w:rsidR="00176198" w:rsidRDefault="00176198">
      <w:pPr>
        <w:rPr>
          <w:rFonts w:hint="eastAsia"/>
        </w:rPr>
      </w:pPr>
    </w:p>
    <w:p w:rsidR="00176198" w:rsidRDefault="00176198">
      <w:pPr>
        <w:rPr>
          <w:rFonts w:hint="eastAsia"/>
        </w:rPr>
      </w:pPr>
    </w:p>
    <w:p w:rsidR="00176198" w:rsidRDefault="00176198">
      <w:pPr>
        <w:rPr>
          <w:rFonts w:hint="eastAsia"/>
        </w:rPr>
      </w:pPr>
    </w:p>
    <w:p w:rsidR="00176198" w:rsidRDefault="00176198">
      <w:pPr>
        <w:rPr>
          <w:rFonts w:hint="eastAsia"/>
        </w:rPr>
      </w:pPr>
    </w:p>
    <w:p w:rsidR="00176198" w:rsidRDefault="00176198">
      <w:pPr>
        <w:rPr>
          <w:rFonts w:hint="eastAsia"/>
        </w:rPr>
      </w:pPr>
    </w:p>
    <w:p w:rsidR="00176198" w:rsidRDefault="00176198">
      <w:pPr>
        <w:rPr>
          <w:rFonts w:hint="eastAsia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5667375" cy="7124700"/>
            <wp:effectExtent l="19050" t="0" r="9525" b="0"/>
            <wp:docPr id="11" name="图片 6" descr="东疆港产城融合智慧交通项目一期  交通工程（标志标线） 图纸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东疆港产城融合智慧交通项目一期  交通工程（标志标线） 图纸_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5589" cy="7135026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198" w:rsidRDefault="00176198">
      <w:pPr>
        <w:rPr>
          <w:rFonts w:hint="eastAsia"/>
        </w:rPr>
      </w:pPr>
    </w:p>
    <w:p w:rsidR="00C9500B" w:rsidRDefault="00CE2467">
      <w:r>
        <w:rPr>
          <w:rFonts w:ascii="仿宋_GB2312" w:eastAsia="仿宋_GB2312" w:hAnsi="仿宋_GB2312" w:cs="仿宋_GB2312"/>
          <w:noProof/>
          <w:sz w:val="32"/>
          <w:szCs w:val="32"/>
        </w:rPr>
        <w:lastRenderedPageBreak/>
        <w:pict>
          <v:rect id="_x0000_s1027" style="position:absolute;left:0;text-align:left;margin-left:359.25pt;margin-top:507.75pt;width:18pt;height:102.75pt;z-index:251660288" stroked="f"/>
        </w:pict>
      </w:r>
      <w:r w:rsidR="00B733B1"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0" distR="0">
            <wp:extent cx="4914900" cy="7981950"/>
            <wp:effectExtent l="19050" t="0" r="0" b="0"/>
            <wp:docPr id="7" name="图片 7" descr="东疆港产城融合智慧交通项目一期  交通工程（标志标线） 图纸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东疆港产城融合智慧交通项目一期  交通工程（标志标线） 图纸_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522" t="323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981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00B" w:rsidSect="00C950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3B1" w:rsidRDefault="00B733B1" w:rsidP="00176198">
      <w:r>
        <w:separator/>
      </w:r>
    </w:p>
  </w:endnote>
  <w:endnote w:type="continuationSeparator" w:id="0">
    <w:p w:rsidR="00B733B1" w:rsidRDefault="00B733B1" w:rsidP="00176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3B1" w:rsidRDefault="00B733B1" w:rsidP="00176198">
      <w:r>
        <w:separator/>
      </w:r>
    </w:p>
  </w:footnote>
  <w:footnote w:type="continuationSeparator" w:id="0">
    <w:p w:rsidR="00B733B1" w:rsidRDefault="00B733B1" w:rsidP="00176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formsDesign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RiMDdmMDU4NjVkY2Q1MmViNDcyNTk5ZGVmN2EwY2EifQ=="/>
  </w:docVars>
  <w:rsids>
    <w:rsidRoot w:val="00C46A2F"/>
    <w:rsid w:val="00031F50"/>
    <w:rsid w:val="00047939"/>
    <w:rsid w:val="00095858"/>
    <w:rsid w:val="000B2608"/>
    <w:rsid w:val="00176198"/>
    <w:rsid w:val="0021215D"/>
    <w:rsid w:val="00294273"/>
    <w:rsid w:val="002C4616"/>
    <w:rsid w:val="004908DA"/>
    <w:rsid w:val="005D0BF9"/>
    <w:rsid w:val="005E0503"/>
    <w:rsid w:val="006E1AE9"/>
    <w:rsid w:val="00700E78"/>
    <w:rsid w:val="0082283C"/>
    <w:rsid w:val="009D0270"/>
    <w:rsid w:val="00A71991"/>
    <w:rsid w:val="00A75605"/>
    <w:rsid w:val="00A96DBC"/>
    <w:rsid w:val="00B733B1"/>
    <w:rsid w:val="00BB4CC6"/>
    <w:rsid w:val="00C00A92"/>
    <w:rsid w:val="00C46A2F"/>
    <w:rsid w:val="00C9500B"/>
    <w:rsid w:val="00CE2467"/>
    <w:rsid w:val="00EB02B1"/>
    <w:rsid w:val="00F06CA1"/>
    <w:rsid w:val="00F85A7D"/>
    <w:rsid w:val="01AA7010"/>
    <w:rsid w:val="0C762E66"/>
    <w:rsid w:val="0F6D1075"/>
    <w:rsid w:val="1112426A"/>
    <w:rsid w:val="152667B9"/>
    <w:rsid w:val="161A57AB"/>
    <w:rsid w:val="165D4459"/>
    <w:rsid w:val="1B89689F"/>
    <w:rsid w:val="1E3D7AF5"/>
    <w:rsid w:val="20C17EF3"/>
    <w:rsid w:val="26DD1E76"/>
    <w:rsid w:val="27887464"/>
    <w:rsid w:val="28D26DA4"/>
    <w:rsid w:val="2CD823D1"/>
    <w:rsid w:val="368A544A"/>
    <w:rsid w:val="3A9F6676"/>
    <w:rsid w:val="402B3124"/>
    <w:rsid w:val="40B3559D"/>
    <w:rsid w:val="41AF2209"/>
    <w:rsid w:val="42697080"/>
    <w:rsid w:val="43510C65"/>
    <w:rsid w:val="458C4D3B"/>
    <w:rsid w:val="484C701C"/>
    <w:rsid w:val="48C447EC"/>
    <w:rsid w:val="4C6B46C4"/>
    <w:rsid w:val="4F7F321A"/>
    <w:rsid w:val="50705905"/>
    <w:rsid w:val="531A7D2A"/>
    <w:rsid w:val="57735267"/>
    <w:rsid w:val="5C0F1920"/>
    <w:rsid w:val="5CFF599B"/>
    <w:rsid w:val="5F5A15AE"/>
    <w:rsid w:val="650C18C3"/>
    <w:rsid w:val="680D3662"/>
    <w:rsid w:val="68106CAE"/>
    <w:rsid w:val="68872C67"/>
    <w:rsid w:val="6CD63324"/>
    <w:rsid w:val="715A4C86"/>
    <w:rsid w:val="72F773E8"/>
    <w:rsid w:val="74166D14"/>
    <w:rsid w:val="7730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0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9500B"/>
    <w:pPr>
      <w:jc w:val="left"/>
    </w:pPr>
  </w:style>
  <w:style w:type="paragraph" w:styleId="a4">
    <w:name w:val="Balloon Text"/>
    <w:basedOn w:val="a"/>
    <w:link w:val="Char"/>
    <w:qFormat/>
    <w:rsid w:val="00C9500B"/>
    <w:rPr>
      <w:sz w:val="18"/>
      <w:szCs w:val="18"/>
    </w:rPr>
  </w:style>
  <w:style w:type="paragraph" w:styleId="a5">
    <w:name w:val="footer"/>
    <w:basedOn w:val="a"/>
    <w:link w:val="Char0"/>
    <w:qFormat/>
    <w:rsid w:val="00C95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C95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C9500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sid w:val="00C9500B"/>
    <w:rPr>
      <w:b/>
    </w:rPr>
  </w:style>
  <w:style w:type="character" w:customStyle="1" w:styleId="Char0">
    <w:name w:val="页脚 Char"/>
    <w:basedOn w:val="a0"/>
    <w:link w:val="a5"/>
    <w:qFormat/>
    <w:rsid w:val="00C9500B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C9500B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C950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3544-B089-4389-84C3-E7B7BF8F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</dc:creator>
  <cp:lastModifiedBy>陈远航</cp:lastModifiedBy>
  <cp:revision>3</cp:revision>
  <cp:lastPrinted>2025-02-11T06:23:00Z</cp:lastPrinted>
  <dcterms:created xsi:type="dcterms:W3CDTF">2025-04-08T09:48:00Z</dcterms:created>
  <dcterms:modified xsi:type="dcterms:W3CDTF">2025-04-08T10:11:00Z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6C8FA581DA2543E79CAA60A4E0647BA6_13</vt:lpwstr>
  </property>
  <property fmtid="{D5CDD505-2E9C-101B-9397-08002B2CF9AE}" pid="4" name="KSOTemplateDocerSaveRecord">
    <vt:lpwstr>eyJoZGlkIjoiYjY0NTRlYzAzN2EyOTRjNDQwMTAwZmUwNDU1MzAzYWUiLCJ1c2VySWQiOiIyMTQwNDM0MDIifQ==</vt:lpwstr>
  </property>
</Properties>
</file>